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10"/>
        <w:gridCol w:w="105"/>
        <w:gridCol w:w="4530"/>
        <w:tblGridChange w:id="0">
          <w:tblGrid>
            <w:gridCol w:w="4410"/>
            <w:gridCol w:w="105"/>
            <w:gridCol w:w="4530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36"/>
                <w:szCs w:val="36"/>
                <w:rtl w:val="0"/>
              </w:rPr>
              <w:t xml:space="preserve">Creative iMedia (OCR Cambridge National)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Course Overview</w:t>
            </w:r>
          </w:p>
        </w:tc>
      </w:tr>
      <w:tr>
        <w:trPr>
          <w:cantSplit w:val="0"/>
          <w:trHeight w:val="2698.33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after="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The world is changing at a rapid pace but one thing is for sure, it’s going to be a digital future. The Creative iMedia course has been developed to inspire and enthuse learners to consider a career in one of the UK’s biggest industries. Students will be given the opportunity to utilise a range of cutting edge digital technologies in order to produce a variety of creative media products that demonstrate their understanding of the industry. Learners will work to set briefs to give them a better idea of real working practises. The course presents knowledge, skills and understanding in a meaningful, work-related context, allowing learners to explore media concepts and their application. The course leads on seamlessly to the media course at our exceptional sixth form.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Assessment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Exam Unit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R093 Creative iMedia in the media industry. (1 hour 30 mins).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R093 = 40%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R094 = 25%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R095/R098 = 35%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Mandatory Coursework Unit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hanging="283.4645669291342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R094 Visual Identity and digital graphics.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One of the two units from below: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hanging="283.4645669291342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R095 Characters and comics.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hanging="283.4645669291342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R098 Visual Imaging.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Unit briefs change each year. Coursework is subject to external moderation.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Awarding Body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OCR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Independent Learning Expectations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As with all practical courses, there is a requirement for all students to spend time outside of lessons to practise their skills. Coursework is expected to be completed within a limited timeframe; it is the student’s responsibility to ensure that these are completed with autonomy.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Possible Careers in the Subject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Marketing and Advertising.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Publishing.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Journalism.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Social Media Manager.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Animation.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Video/Film Production.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Graphic Designer.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Media Editor.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Photographer.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Games Design.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Subject Leader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Name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Mr P Sammons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Email address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p.sammons@pudseygrammar.co.uk</w:t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