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02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512"/>
        <w:gridCol w:w="4513"/>
        <w:tblGridChange w:id="0">
          <w:tblGrid>
            <w:gridCol w:w="4512"/>
            <w:gridCol w:w="4513"/>
          </w:tblGrid>
        </w:tblGridChange>
      </w:tblGrid>
      <w:tr>
        <w:trPr>
          <w:cantSplit w:val="0"/>
          <w:trHeight w:val="56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Construction Technical Award</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91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6">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This qualification is made up of one mandatory unit, which all students will need to complete and another unit that has been chosen by the school. </w:t>
            </w:r>
          </w:p>
          <w:p w:rsidR="00000000" w:rsidDel="00000000" w:rsidP="00000000" w:rsidRDefault="00000000" w:rsidRPr="00000000" w14:paraId="00000007">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Unit 1: Introduction to the Built Environment (completed by all students)</w:t>
            </w:r>
          </w:p>
          <w:p w:rsidR="00000000" w:rsidDel="00000000" w:rsidP="00000000" w:rsidRDefault="00000000" w:rsidRPr="00000000" w14:paraId="00000009">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be introduced to the principles of the built environment and have the opportunity to develop the skills, knowledge and understanding in identifying, explaining and evaluating different ideas and concepts of the built environment. Explore a range of professional and trade roles. Explore some of the different structures and buildings of the built environment</w:t>
            </w:r>
          </w:p>
          <w:p w:rsidR="00000000" w:rsidDel="00000000" w:rsidP="00000000" w:rsidRDefault="00000000" w:rsidRPr="00000000" w14:paraId="0000000A">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Unit 3: Constructing the Built Environment </w:t>
            </w:r>
          </w:p>
          <w:p w:rsidR="00000000" w:rsidDel="00000000" w:rsidP="00000000" w:rsidRDefault="00000000" w:rsidRPr="00000000" w14:paraId="0000000C">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study three construction trade areas of the built environment, including planning, undertaking and evaluating construction tasks.</w:t>
            </w:r>
          </w:p>
          <w:p w:rsidR="00000000" w:rsidDel="00000000" w:rsidP="00000000" w:rsidRDefault="00000000" w:rsidRPr="00000000" w14:paraId="0000000D">
            <w:pPr>
              <w:spacing w:line="240" w:lineRule="auto"/>
              <w:rPr>
                <w:rFonts w:ascii="Montserrat" w:cs="Montserrat" w:eastAsia="Montserrat" w:hAnsi="Montserrat"/>
                <w:sz w:val="20"/>
                <w:szCs w:val="20"/>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10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before="112"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Unit 1 </w:t>
            </w:r>
          </w:p>
          <w:p w:rsidR="00000000" w:rsidDel="00000000" w:rsidP="00000000" w:rsidRDefault="00000000" w:rsidRPr="00000000" w14:paraId="00000012">
            <w:pPr>
              <w:widowControl w:val="0"/>
              <w:spacing w:before="112"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This unit is externally assessed through a written examination available in May/June at the end of year 11. Duration: 1 hour 30 minutes Number of marks: 80 Format: objective responses, short and extended answer questions based around applied situations. Learners may be required to use stimulus material to respond to questions. </w:t>
            </w:r>
          </w:p>
          <w:p w:rsidR="00000000" w:rsidDel="00000000" w:rsidP="00000000" w:rsidRDefault="00000000" w:rsidRPr="00000000" w14:paraId="00000013">
            <w:pPr>
              <w:widowControl w:val="0"/>
              <w:spacing w:before="112"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8"/>
                <w:szCs w:val="18"/>
                <w:rtl w:val="0"/>
              </w:rPr>
              <w:t xml:space="preserve">This assessment contributes 40% to the overall qualification grade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before="112" w:line="240" w:lineRule="auto"/>
              <w:rPr>
                <w:rFonts w:ascii="Montserrat" w:cs="Montserrat" w:eastAsia="Montserrat" w:hAnsi="Montserrat"/>
                <w:color w:val="16254b"/>
                <w:sz w:val="18"/>
                <w:szCs w:val="18"/>
              </w:rPr>
            </w:pPr>
            <w:r w:rsidDel="00000000" w:rsidR="00000000" w:rsidRPr="00000000">
              <w:rPr>
                <w:rFonts w:ascii="Montserrat" w:cs="Montserrat" w:eastAsia="Montserrat" w:hAnsi="Montserrat"/>
                <w:color w:val="16254b"/>
                <w:sz w:val="18"/>
                <w:szCs w:val="18"/>
                <w:rtl w:val="0"/>
              </w:rPr>
              <w:t xml:space="preserve">Unit 3 </w:t>
            </w:r>
          </w:p>
          <w:p w:rsidR="00000000" w:rsidDel="00000000" w:rsidP="00000000" w:rsidRDefault="00000000" w:rsidRPr="00000000" w14:paraId="00000015">
            <w:pPr>
              <w:widowControl w:val="0"/>
              <w:spacing w:before="112" w:line="240" w:lineRule="auto"/>
              <w:rPr>
                <w:rFonts w:ascii="Montserrat" w:cs="Montserrat" w:eastAsia="Montserrat" w:hAnsi="Montserrat"/>
                <w:color w:val="16254b"/>
                <w:sz w:val="18"/>
                <w:szCs w:val="18"/>
              </w:rPr>
            </w:pPr>
            <w:r w:rsidDel="00000000" w:rsidR="00000000" w:rsidRPr="00000000">
              <w:rPr>
                <w:rFonts w:ascii="Montserrat" w:cs="Montserrat" w:eastAsia="Montserrat" w:hAnsi="Montserrat"/>
                <w:color w:val="16254b"/>
                <w:sz w:val="18"/>
                <w:szCs w:val="18"/>
                <w:rtl w:val="0"/>
              </w:rPr>
              <w:t xml:space="preserve">This unit is assessed through internally assessed controlled assessment. An assignment brief will be provided by WJEC that will include a scenario and several tasks available via the WJEC Secure Website. </w:t>
            </w:r>
          </w:p>
          <w:p w:rsidR="00000000" w:rsidDel="00000000" w:rsidP="00000000" w:rsidRDefault="00000000" w:rsidRPr="00000000" w14:paraId="00000016">
            <w:pPr>
              <w:widowControl w:val="0"/>
              <w:spacing w:before="112" w:line="240" w:lineRule="auto"/>
              <w:rPr>
                <w:rFonts w:ascii="Montserrat" w:cs="Montserrat" w:eastAsia="Montserrat" w:hAnsi="Montserrat"/>
                <w:sz w:val="18"/>
                <w:szCs w:val="18"/>
              </w:rPr>
            </w:pPr>
            <w:r w:rsidDel="00000000" w:rsidR="00000000" w:rsidRPr="00000000">
              <w:rPr>
                <w:rFonts w:ascii="Montserrat" w:cs="Montserrat" w:eastAsia="Montserrat" w:hAnsi="Montserrat"/>
                <w:color w:val="16254b"/>
                <w:sz w:val="18"/>
                <w:szCs w:val="18"/>
                <w:rtl w:val="0"/>
              </w:rPr>
              <w:t xml:space="preserve">This assessment contributes 60% to the overall qualification grade.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Eduqas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39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 with all practical subjects Construction  students will be expected to attend after school sessions to extend and give depth to their practical skills. </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190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1">
            <w:pPr>
              <w:widowControl w:val="0"/>
              <w:numPr>
                <w:ilvl w:val="0"/>
                <w:numId w:val="1"/>
              </w:numPr>
              <w:spacing w:after="0" w:afterAutospacing="0" w:before="100" w:line="273.6" w:lineRule="auto"/>
              <w:ind w:left="720" w:hanging="360"/>
              <w:rPr>
                <w:rFonts w:ascii="Montserrat" w:cs="Montserrat" w:eastAsia="Montserrat" w:hAnsi="Montserrat"/>
                <w:color w:val="16254b"/>
                <w:sz w:val="24"/>
                <w:szCs w:val="24"/>
              </w:rPr>
            </w:pPr>
            <w:r w:rsidDel="00000000" w:rsidR="00000000" w:rsidRPr="00000000">
              <w:rPr>
                <w:rFonts w:ascii="Montserrat" w:cs="Montserrat" w:eastAsia="Montserrat" w:hAnsi="Montserrat"/>
                <w:color w:val="16254b"/>
                <w:sz w:val="18"/>
                <w:szCs w:val="18"/>
                <w:rtl w:val="0"/>
              </w:rPr>
              <w:t xml:space="preserve">Architect</w:t>
            </w:r>
          </w:p>
          <w:p w:rsidR="00000000" w:rsidDel="00000000" w:rsidP="00000000" w:rsidRDefault="00000000" w:rsidRPr="00000000" w14:paraId="00000022">
            <w:pPr>
              <w:widowControl w:val="0"/>
              <w:numPr>
                <w:ilvl w:val="0"/>
                <w:numId w:val="1"/>
              </w:numPr>
              <w:spacing w:after="0" w:afterAutospacing="0" w:before="0" w:beforeAutospacing="0" w:line="273.6" w:lineRule="auto"/>
              <w:ind w:left="720" w:hanging="360"/>
              <w:rPr>
                <w:rFonts w:ascii="Montserrat" w:cs="Montserrat" w:eastAsia="Montserrat" w:hAnsi="Montserrat"/>
                <w:color w:val="16254b"/>
                <w:sz w:val="18"/>
                <w:szCs w:val="18"/>
              </w:rPr>
            </w:pPr>
            <w:r w:rsidDel="00000000" w:rsidR="00000000" w:rsidRPr="00000000">
              <w:rPr>
                <w:rFonts w:ascii="Montserrat" w:cs="Montserrat" w:eastAsia="Montserrat" w:hAnsi="Montserrat"/>
                <w:color w:val="16254b"/>
                <w:sz w:val="18"/>
                <w:szCs w:val="18"/>
                <w:rtl w:val="0"/>
              </w:rPr>
              <w:t xml:space="preserve">Engineer</w:t>
            </w:r>
          </w:p>
          <w:p w:rsidR="00000000" w:rsidDel="00000000" w:rsidP="00000000" w:rsidRDefault="00000000" w:rsidRPr="00000000" w14:paraId="00000023">
            <w:pPr>
              <w:widowControl w:val="0"/>
              <w:numPr>
                <w:ilvl w:val="0"/>
                <w:numId w:val="1"/>
              </w:numPr>
              <w:spacing w:after="0" w:afterAutospacing="0" w:before="0" w:beforeAutospacing="0" w:line="273.6" w:lineRule="auto"/>
              <w:ind w:left="720" w:hanging="360"/>
              <w:rPr>
                <w:rFonts w:ascii="Montserrat" w:cs="Montserrat" w:eastAsia="Montserrat" w:hAnsi="Montserrat"/>
                <w:color w:val="16254b"/>
                <w:sz w:val="18"/>
                <w:szCs w:val="18"/>
              </w:rPr>
            </w:pPr>
            <w:r w:rsidDel="00000000" w:rsidR="00000000" w:rsidRPr="00000000">
              <w:rPr>
                <w:rFonts w:ascii="Montserrat" w:cs="Montserrat" w:eastAsia="Montserrat" w:hAnsi="Montserrat"/>
                <w:color w:val="16254b"/>
                <w:sz w:val="18"/>
                <w:szCs w:val="18"/>
                <w:rtl w:val="0"/>
              </w:rPr>
              <w:t xml:space="preserve">Building surveyor</w:t>
            </w:r>
          </w:p>
          <w:p w:rsidR="00000000" w:rsidDel="00000000" w:rsidP="00000000" w:rsidRDefault="00000000" w:rsidRPr="00000000" w14:paraId="00000024">
            <w:pPr>
              <w:widowControl w:val="0"/>
              <w:numPr>
                <w:ilvl w:val="0"/>
                <w:numId w:val="1"/>
              </w:numPr>
              <w:spacing w:after="0" w:afterAutospacing="0" w:before="0" w:beforeAutospacing="0" w:line="273.6" w:lineRule="auto"/>
              <w:ind w:left="720" w:hanging="360"/>
              <w:rPr>
                <w:rFonts w:ascii="Montserrat" w:cs="Montserrat" w:eastAsia="Montserrat" w:hAnsi="Montserrat"/>
                <w:color w:val="16254b"/>
                <w:sz w:val="18"/>
                <w:szCs w:val="18"/>
              </w:rPr>
            </w:pPr>
            <w:r w:rsidDel="00000000" w:rsidR="00000000" w:rsidRPr="00000000">
              <w:rPr>
                <w:rFonts w:ascii="Montserrat" w:cs="Montserrat" w:eastAsia="Montserrat" w:hAnsi="Montserrat"/>
                <w:color w:val="16254b"/>
                <w:sz w:val="18"/>
                <w:szCs w:val="18"/>
                <w:rtl w:val="0"/>
              </w:rPr>
              <w:t xml:space="preserve">Cost estimator or planner</w:t>
            </w:r>
          </w:p>
          <w:p w:rsidR="00000000" w:rsidDel="00000000" w:rsidP="00000000" w:rsidRDefault="00000000" w:rsidRPr="00000000" w14:paraId="00000025">
            <w:pPr>
              <w:widowControl w:val="0"/>
              <w:numPr>
                <w:ilvl w:val="0"/>
                <w:numId w:val="1"/>
              </w:numPr>
              <w:spacing w:after="0" w:afterAutospacing="0" w:before="0" w:beforeAutospacing="0" w:line="273.6" w:lineRule="auto"/>
              <w:ind w:left="720" w:hanging="360"/>
              <w:rPr>
                <w:rFonts w:ascii="Montserrat" w:cs="Montserrat" w:eastAsia="Montserrat" w:hAnsi="Montserrat"/>
                <w:color w:val="16254b"/>
                <w:sz w:val="18"/>
                <w:szCs w:val="18"/>
              </w:rPr>
            </w:pPr>
            <w:r w:rsidDel="00000000" w:rsidR="00000000" w:rsidRPr="00000000">
              <w:rPr>
                <w:rFonts w:ascii="Montserrat" w:cs="Montserrat" w:eastAsia="Montserrat" w:hAnsi="Montserrat"/>
                <w:color w:val="16254b"/>
                <w:sz w:val="18"/>
                <w:szCs w:val="18"/>
                <w:rtl w:val="0"/>
              </w:rPr>
              <w:t xml:space="preserve">Project manager</w:t>
            </w:r>
          </w:p>
          <w:p w:rsidR="00000000" w:rsidDel="00000000" w:rsidP="00000000" w:rsidRDefault="00000000" w:rsidRPr="00000000" w14:paraId="00000026">
            <w:pPr>
              <w:widowControl w:val="0"/>
              <w:numPr>
                <w:ilvl w:val="0"/>
                <w:numId w:val="1"/>
              </w:numPr>
              <w:spacing w:after="0" w:afterAutospacing="0" w:before="0" w:beforeAutospacing="0" w:line="273.6" w:lineRule="auto"/>
              <w:ind w:left="720" w:hanging="360"/>
              <w:rPr>
                <w:rFonts w:ascii="Montserrat" w:cs="Montserrat" w:eastAsia="Montserrat" w:hAnsi="Montserrat"/>
                <w:color w:val="16254b"/>
                <w:sz w:val="18"/>
                <w:szCs w:val="18"/>
              </w:rPr>
            </w:pPr>
            <w:r w:rsidDel="00000000" w:rsidR="00000000" w:rsidRPr="00000000">
              <w:rPr>
                <w:rFonts w:ascii="Montserrat" w:cs="Montserrat" w:eastAsia="Montserrat" w:hAnsi="Montserrat"/>
                <w:color w:val="16254b"/>
                <w:sz w:val="18"/>
                <w:szCs w:val="18"/>
                <w:rtl w:val="0"/>
              </w:rPr>
              <w:t xml:space="preserve">Site manager or supervisor</w:t>
            </w:r>
          </w:p>
          <w:p w:rsidR="00000000" w:rsidDel="00000000" w:rsidP="00000000" w:rsidRDefault="00000000" w:rsidRPr="00000000" w14:paraId="00000027">
            <w:pPr>
              <w:widowControl w:val="0"/>
              <w:numPr>
                <w:ilvl w:val="0"/>
                <w:numId w:val="1"/>
              </w:numPr>
              <w:spacing w:after="0" w:afterAutospacing="0" w:before="0" w:beforeAutospacing="0" w:line="273.6" w:lineRule="auto"/>
              <w:ind w:left="720" w:hanging="360"/>
              <w:rPr>
                <w:rFonts w:ascii="Montserrat" w:cs="Montserrat" w:eastAsia="Montserrat" w:hAnsi="Montserrat"/>
                <w:color w:val="16254b"/>
                <w:sz w:val="18"/>
                <w:szCs w:val="18"/>
              </w:rPr>
            </w:pPr>
            <w:r w:rsidDel="00000000" w:rsidR="00000000" w:rsidRPr="00000000">
              <w:rPr>
                <w:rFonts w:ascii="Montserrat" w:cs="Montserrat" w:eastAsia="Montserrat" w:hAnsi="Montserrat"/>
                <w:color w:val="16254b"/>
                <w:sz w:val="18"/>
                <w:szCs w:val="18"/>
                <w:rtl w:val="0"/>
              </w:rPr>
              <w:t xml:space="preserve">Site inspector</w:t>
            </w:r>
          </w:p>
          <w:p w:rsidR="00000000" w:rsidDel="00000000" w:rsidP="00000000" w:rsidRDefault="00000000" w:rsidRPr="00000000" w14:paraId="00000028">
            <w:pPr>
              <w:widowControl w:val="0"/>
              <w:numPr>
                <w:ilvl w:val="0"/>
                <w:numId w:val="1"/>
              </w:numPr>
              <w:spacing w:after="0" w:afterAutospacing="0" w:before="0" w:beforeAutospacing="0" w:line="273.6" w:lineRule="auto"/>
              <w:ind w:left="720" w:hanging="360"/>
              <w:rPr>
                <w:rFonts w:ascii="Montserrat" w:cs="Montserrat" w:eastAsia="Montserrat" w:hAnsi="Montserrat"/>
                <w:color w:val="16254b"/>
                <w:sz w:val="18"/>
                <w:szCs w:val="18"/>
              </w:rPr>
            </w:pPr>
            <w:r w:rsidDel="00000000" w:rsidR="00000000" w:rsidRPr="00000000">
              <w:rPr>
                <w:rFonts w:ascii="Montserrat" w:cs="Montserrat" w:eastAsia="Montserrat" w:hAnsi="Montserrat"/>
                <w:color w:val="16254b"/>
                <w:sz w:val="18"/>
                <w:szCs w:val="18"/>
                <w:rtl w:val="0"/>
              </w:rPr>
              <w:t xml:space="preserve">Glaziers</w:t>
            </w:r>
          </w:p>
          <w:p w:rsidR="00000000" w:rsidDel="00000000" w:rsidP="00000000" w:rsidRDefault="00000000" w:rsidRPr="00000000" w14:paraId="00000029">
            <w:pPr>
              <w:widowControl w:val="0"/>
              <w:numPr>
                <w:ilvl w:val="0"/>
                <w:numId w:val="1"/>
              </w:numPr>
              <w:spacing w:after="0" w:afterAutospacing="0" w:before="0" w:beforeAutospacing="0" w:line="273.6" w:lineRule="auto"/>
              <w:ind w:left="720" w:hanging="360"/>
              <w:rPr>
                <w:rFonts w:ascii="Montserrat" w:cs="Montserrat" w:eastAsia="Montserrat" w:hAnsi="Montserrat"/>
                <w:color w:val="16254b"/>
                <w:sz w:val="18"/>
                <w:szCs w:val="18"/>
              </w:rPr>
            </w:pPr>
            <w:hyperlink r:id="rId6">
              <w:r w:rsidDel="00000000" w:rsidR="00000000" w:rsidRPr="00000000">
                <w:rPr>
                  <w:rFonts w:ascii="Montserrat" w:cs="Montserrat" w:eastAsia="Montserrat" w:hAnsi="Montserrat"/>
                  <w:color w:val="16254b"/>
                  <w:sz w:val="18"/>
                  <w:szCs w:val="18"/>
                  <w:rtl w:val="0"/>
                </w:rPr>
                <w:t xml:space="preserve">Electrician</w:t>
              </w:r>
            </w:hyperlink>
            <w:r w:rsidDel="00000000" w:rsidR="00000000" w:rsidRPr="00000000">
              <w:rPr>
                <w:rtl w:val="0"/>
              </w:rPr>
            </w:r>
          </w:p>
          <w:p w:rsidR="00000000" w:rsidDel="00000000" w:rsidP="00000000" w:rsidRDefault="00000000" w:rsidRPr="00000000" w14:paraId="0000002A">
            <w:pPr>
              <w:widowControl w:val="0"/>
              <w:numPr>
                <w:ilvl w:val="0"/>
                <w:numId w:val="1"/>
              </w:numPr>
              <w:spacing w:after="0" w:afterAutospacing="0" w:before="0" w:beforeAutospacing="0" w:line="273.6" w:lineRule="auto"/>
              <w:ind w:left="720" w:hanging="360"/>
              <w:rPr>
                <w:rFonts w:ascii="Montserrat" w:cs="Montserrat" w:eastAsia="Montserrat" w:hAnsi="Montserrat"/>
                <w:color w:val="16254b"/>
                <w:sz w:val="18"/>
                <w:szCs w:val="18"/>
              </w:rPr>
            </w:pPr>
            <w:hyperlink r:id="rId7">
              <w:r w:rsidDel="00000000" w:rsidR="00000000" w:rsidRPr="00000000">
                <w:rPr>
                  <w:rFonts w:ascii="Montserrat" w:cs="Montserrat" w:eastAsia="Montserrat" w:hAnsi="Montserrat"/>
                  <w:color w:val="16254b"/>
                  <w:sz w:val="18"/>
                  <w:szCs w:val="18"/>
                  <w:highlight w:val="white"/>
                  <w:rtl w:val="0"/>
                </w:rPr>
                <w:t xml:space="preserve">Carpenters</w:t>
              </w:r>
            </w:hyperlink>
            <w:r w:rsidDel="00000000" w:rsidR="00000000" w:rsidRPr="00000000">
              <w:rPr>
                <w:rtl w:val="0"/>
              </w:rPr>
            </w:r>
          </w:p>
          <w:p w:rsidR="00000000" w:rsidDel="00000000" w:rsidP="00000000" w:rsidRDefault="00000000" w:rsidRPr="00000000" w14:paraId="0000002B">
            <w:pPr>
              <w:widowControl w:val="0"/>
              <w:numPr>
                <w:ilvl w:val="0"/>
                <w:numId w:val="1"/>
              </w:numPr>
              <w:spacing w:after="0" w:afterAutospacing="0" w:before="0" w:beforeAutospacing="0" w:line="273.6" w:lineRule="auto"/>
              <w:ind w:left="720" w:hanging="360"/>
              <w:rPr>
                <w:rFonts w:ascii="Montserrat" w:cs="Montserrat" w:eastAsia="Montserrat" w:hAnsi="Montserrat"/>
                <w:color w:val="16254b"/>
                <w:sz w:val="18"/>
                <w:szCs w:val="18"/>
              </w:rPr>
            </w:pPr>
            <w:r w:rsidDel="00000000" w:rsidR="00000000" w:rsidRPr="00000000">
              <w:rPr>
                <w:rFonts w:ascii="Montserrat" w:cs="Montserrat" w:eastAsia="Montserrat" w:hAnsi="Montserrat"/>
                <w:color w:val="16254b"/>
                <w:sz w:val="18"/>
                <w:szCs w:val="18"/>
                <w:highlight w:val="white"/>
                <w:rtl w:val="0"/>
              </w:rPr>
              <w:t xml:space="preserve">Vehicle and /or machinery operator</w:t>
            </w:r>
          </w:p>
          <w:p w:rsidR="00000000" w:rsidDel="00000000" w:rsidP="00000000" w:rsidRDefault="00000000" w:rsidRPr="00000000" w14:paraId="0000002C">
            <w:pPr>
              <w:widowControl w:val="0"/>
              <w:numPr>
                <w:ilvl w:val="0"/>
                <w:numId w:val="1"/>
              </w:numPr>
              <w:spacing w:after="0" w:afterAutospacing="0" w:before="0" w:beforeAutospacing="0" w:line="273.6" w:lineRule="auto"/>
              <w:ind w:left="720" w:hanging="360"/>
              <w:rPr>
                <w:rFonts w:ascii="Montserrat" w:cs="Montserrat" w:eastAsia="Montserrat" w:hAnsi="Montserrat"/>
                <w:color w:val="16254b"/>
                <w:sz w:val="18"/>
                <w:szCs w:val="18"/>
                <w:highlight w:val="white"/>
              </w:rPr>
            </w:pPr>
            <w:r w:rsidDel="00000000" w:rsidR="00000000" w:rsidRPr="00000000">
              <w:rPr>
                <w:rFonts w:ascii="Montserrat" w:cs="Montserrat" w:eastAsia="Montserrat" w:hAnsi="Montserrat"/>
                <w:color w:val="16254b"/>
                <w:sz w:val="18"/>
                <w:szCs w:val="18"/>
                <w:highlight w:val="white"/>
                <w:rtl w:val="0"/>
              </w:rPr>
              <w:t xml:space="preserve">Decorator and/or plasterer</w:t>
            </w:r>
          </w:p>
          <w:p w:rsidR="00000000" w:rsidDel="00000000" w:rsidP="00000000" w:rsidRDefault="00000000" w:rsidRPr="00000000" w14:paraId="0000002D">
            <w:pPr>
              <w:widowControl w:val="0"/>
              <w:numPr>
                <w:ilvl w:val="0"/>
                <w:numId w:val="1"/>
              </w:numPr>
              <w:spacing w:after="100" w:before="0" w:beforeAutospacing="0" w:line="273.6" w:lineRule="auto"/>
              <w:ind w:left="720" w:hanging="360"/>
              <w:rPr>
                <w:rFonts w:ascii="Montserrat" w:cs="Montserrat" w:eastAsia="Montserrat" w:hAnsi="Montserrat"/>
                <w:color w:val="16254b"/>
                <w:sz w:val="18"/>
                <w:szCs w:val="18"/>
                <w:highlight w:val="white"/>
              </w:rPr>
            </w:pPr>
            <w:r w:rsidDel="00000000" w:rsidR="00000000" w:rsidRPr="00000000">
              <w:rPr>
                <w:rFonts w:ascii="Montserrat" w:cs="Montserrat" w:eastAsia="Montserrat" w:hAnsi="Montserrat"/>
                <w:color w:val="16254b"/>
                <w:sz w:val="18"/>
                <w:szCs w:val="18"/>
                <w:highlight w:val="white"/>
                <w:rtl w:val="0"/>
              </w:rPr>
              <w:t xml:space="preserve">Plumber</w:t>
            </w:r>
            <w:r w:rsidDel="00000000" w:rsidR="00000000" w:rsidRPr="00000000">
              <w:rPr>
                <w:rtl w:val="0"/>
              </w:rPr>
            </w:r>
          </w:p>
        </w:tc>
      </w:tr>
      <w:tr>
        <w:trPr>
          <w:cantSplit w:val="0"/>
          <w:trHeight w:val="46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1">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color w:val="000000"/>
                <w:sz w:val="20"/>
                <w:szCs w:val="20"/>
                <w:rtl w:val="0"/>
              </w:rPr>
              <w:t xml:space="preserve">M</w:t>
            </w:r>
            <w:r w:rsidDel="00000000" w:rsidR="00000000" w:rsidRPr="00000000">
              <w:rPr>
                <w:rFonts w:ascii="Montserrat" w:cs="Montserrat" w:eastAsia="Montserrat" w:hAnsi="Montserrat"/>
                <w:sz w:val="20"/>
                <w:szCs w:val="20"/>
                <w:rtl w:val="0"/>
              </w:rPr>
              <w:t xml:space="preserve">iss H Snaith</w:t>
            </w:r>
          </w:p>
          <w:p w:rsidR="00000000" w:rsidDel="00000000" w:rsidP="00000000" w:rsidRDefault="00000000" w:rsidRPr="00000000" w14:paraId="00000032">
            <w:pPr>
              <w:spacing w:line="24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h.snaith@pudseygrammar.co.uk</w:t>
            </w:r>
            <w:r w:rsidDel="00000000" w:rsidR="00000000" w:rsidRPr="00000000">
              <w:rPr>
                <w:rtl w:val="0"/>
              </w:rPr>
            </w:r>
          </w:p>
          <w:p w:rsidR="00000000" w:rsidDel="00000000" w:rsidP="00000000" w:rsidRDefault="00000000" w:rsidRPr="00000000" w14:paraId="00000033">
            <w:pPr>
              <w:spacing w:line="240" w:lineRule="auto"/>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35">
      <w:pPr>
        <w:rPr>
          <w:rFonts w:ascii="Raleway" w:cs="Raleway" w:eastAsia="Raleway" w:hAnsi="Raleway"/>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ghspeedtraining.co.uk/hub/how-to-become-an-electrician/" TargetMode="External"/><Relationship Id="rId7" Type="http://schemas.openxmlformats.org/officeDocument/2006/relationships/hyperlink" Target="https://www.highspeedtraining.co.uk/hub/how-to-become-a-carpen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