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Music BTEC</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BTEC Tech award in Music takes a practical approach to providing students with the skills and confidence to progress in their musical learning. It allows time to develop both individually and in a group across a two year course that lends itself to students of all abilities. Students will work from set briefs in order to explore how to refine performance, composition and production skills using both live and technology based techniques. The course has been developed to inspire and enthuse students to consider a career in the music industry or to pursue further studies within a specialism of music. In addition to musical learning, students will develop a range of transferable skills including teamwork, leadership, communication and the ability to present an end product in response to a given brief. The course equates to one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27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 Coursework units</w:t>
            </w:r>
          </w:p>
          <w:p w:rsidR="00000000" w:rsidDel="00000000" w:rsidP="00000000" w:rsidRDefault="00000000" w:rsidRPr="00000000" w14:paraId="0000000B">
            <w:pPr>
              <w:pageBreakBefore w:val="0"/>
              <w:spacing w:line="240" w:lineRule="auto"/>
              <w:ind w:left="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1: Exploring Music Products and Styles</w:t>
            </w:r>
          </w:p>
          <w:p w:rsidR="00000000" w:rsidDel="00000000" w:rsidP="00000000" w:rsidRDefault="00000000" w:rsidRPr="00000000" w14:paraId="0000000C">
            <w:pPr>
              <w:pageBreakBefore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Creation of a portfolio of composition, performance and production work to reflect knowledge of musical styles. (30%)</w:t>
            </w:r>
          </w:p>
          <w:p w:rsidR="00000000" w:rsidDel="00000000" w:rsidP="00000000" w:rsidRDefault="00000000" w:rsidRPr="00000000" w14:paraId="0000000D">
            <w:pPr>
              <w:pageBreakBefore w:val="0"/>
              <w:spacing w:line="24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Component 2: Music Skills Development </w:t>
            </w:r>
            <w:r w:rsidDel="00000000" w:rsidR="00000000" w:rsidRPr="00000000">
              <w:rPr>
                <w:rFonts w:ascii="Montserrat" w:cs="Montserrat" w:eastAsia="Montserrat" w:hAnsi="Montserrat"/>
                <w:sz w:val="20"/>
                <w:szCs w:val="20"/>
                <w:rtl w:val="0"/>
              </w:rPr>
              <w:t xml:space="preserve">Development of a range of practical, personal and professional skills, specialising in two of performance, composition or production. </w:t>
            </w:r>
            <w:r w:rsidDel="00000000" w:rsidR="00000000" w:rsidRPr="00000000">
              <w:rPr>
                <w:rFonts w:ascii="Montserrat" w:cs="Montserrat" w:eastAsia="Montserrat" w:hAnsi="Montserrat"/>
                <w:sz w:val="20"/>
                <w:szCs w:val="20"/>
                <w:rtl w:val="0"/>
              </w:rPr>
              <w:t xml:space="preserve">(30%)</w:t>
            </w:r>
          </w:p>
          <w:p w:rsidR="00000000" w:rsidDel="00000000" w:rsidP="00000000" w:rsidRDefault="00000000" w:rsidRPr="00000000" w14:paraId="0000000E">
            <w:pPr>
              <w:pageBreakBefore w:val="0"/>
              <w:spacing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Coursework units are subject to external moderation.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 Exam Unit </w:t>
            </w:r>
          </w:p>
          <w:p w:rsidR="00000000" w:rsidDel="00000000" w:rsidP="00000000" w:rsidRDefault="00000000" w:rsidRPr="00000000" w14:paraId="00000010">
            <w:pPr>
              <w:pageBreakBefore w:val="0"/>
              <w:spacing w:line="240" w:lineRule="auto"/>
              <w:ind w:left="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3: Responding to a Music Brief (externally assessed)</w:t>
            </w:r>
          </w:p>
          <w:p w:rsidR="00000000" w:rsidDel="00000000" w:rsidP="00000000" w:rsidRDefault="00000000" w:rsidRPr="00000000" w14:paraId="00000011">
            <w:pPr>
              <w:pageBreakBefore w:val="0"/>
              <w:spacing w:line="24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Practical exam. You will focus on a particular area of the music sector and respond to a music brief as either a music creator and performer, or music creator and producer. (40%)</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Edexcel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441.3999999999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Due to the practical nature of this course, students will be expected to work independently to develop their performance skills in their own time. This could be through instrumental tuition, school productions, school band/vocal group or music technology club. Students will be able to book time to use the department recording equipment to develop their production skills. </w:t>
            </w:r>
          </w:p>
        </w:tc>
      </w:tr>
      <w:tr>
        <w:trPr>
          <w:cantSplit w:val="0"/>
          <w:trHeight w:val="423.2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Performer/Artist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Session Musician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Recording engineer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Live Sound technician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Music producer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Stage crew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Tour manager/Promoter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Composer (e.g. film, computer games)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DJ</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Music therapist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Music journalist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Songwriter</w:t>
            </w:r>
          </w:p>
        </w:tc>
      </w:tr>
      <w:tr>
        <w:trPr>
          <w:cantSplit w:val="0"/>
          <w:trHeight w:val="378.2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6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L O’Gorman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l.ogorman@pudseygrammar.co.uk</w:t>
            </w:r>
          </w:p>
        </w:tc>
      </w:tr>
    </w:tbl>
    <w:p w:rsidR="00000000" w:rsidDel="00000000" w:rsidP="00000000" w:rsidRDefault="00000000" w:rsidRPr="00000000" w14:paraId="0000002D">
      <w:pPr>
        <w:pageBreakBefore w:val="0"/>
        <w:rPr/>
      </w:pPr>
      <w:r w:rsidDel="00000000" w:rsidR="00000000" w:rsidRPr="00000000">
        <w:rPr>
          <w:rtl w:val="0"/>
        </w:rPr>
      </w:r>
    </w:p>
    <w:sectPr>
      <w:pgSz w:h="16834" w:w="11909" w:orient="portrait"/>
      <w:pgMar w:bottom="1275"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