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5.0" w:type="dxa"/>
        <w:jc w:val="left"/>
        <w:tblInd w:w="-8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25"/>
        <w:gridCol w:w="5190"/>
        <w:tblGridChange w:id="0">
          <w:tblGrid>
            <w:gridCol w:w="5325"/>
            <w:gridCol w:w="5190"/>
          </w:tblGrid>
        </w:tblGridChange>
      </w:tblGrid>
      <w:tr>
        <w:trPr>
          <w:cantSplit w:val="0"/>
          <w:trHeight w:val="593.964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34"/>
                <w:szCs w:val="34"/>
                <w:rtl w:val="0"/>
              </w:rPr>
              <w:t xml:space="preserve">MFL - Spanish GCSE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Course Overview</w:t>
            </w:r>
          </w:p>
        </w:tc>
      </w:tr>
      <w:tr>
        <w:trPr>
          <w:cantSplit w:val="0"/>
          <w:trHeight w:val="28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before="0" w:line="240" w:lineRule="auto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Did you know that 75% of the world’s population do not speak English? At Pudsey Grammar school we believe that studying a language at GCSE, although challenging, equips students with the excellent communication and problem solving skills that are so in demand at university level and within the world of work.</w:t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before="240" w:line="240" w:lineRule="auto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The vocabulary that students will study will enable them to communicate across a selection of broad thematic areas, including:</w:t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before="24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 • My personal world • Lifestyle and wellbeing • My neighbourhood • Media and technology • Studying and my future • Travel and tourism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before="240"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There will also be an exploration of culture through film, song and literature.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Assessment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GCSE Spanish is a linear qualification, which means that all exams will be taken at the end of the course. There are four components worth 25% and students may be entered for foundation or higher level papers.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All Exams must be completed without the use of a dictionary.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ind w:left="0" w:firstLine="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Paper 1: speaking 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Paper 2: listening and understanding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Paper 3: reading and understanding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Paper 4: writing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Awarding Body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Edexcel examination board (All exam boards have launched a new GCSE specification for first teaching from 2024)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Independent Learning Expectations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before="0"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Students are expected to learn at least 5 words/phrases per lesson as well as completing longer weekly homework tasks. Students should also make use of a personal self-quizzing notebook to regularly quiz themselves on the language covered in lessons.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Possible Careers in the Subject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Having a language qualification is useful for careers  in any sector which values the skills of communication, problem solving, resilience and time management. Some language specific careers may include: Translator, Interpreter, Foreign Language Intelligence (e.g. for MI5), Teacher, Linguistic Analyst in the Military, Tour Guide, International Sales Manager, Foreign Service Officer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Subject Leader</w:t>
            </w:r>
          </w:p>
        </w:tc>
      </w:tr>
      <w:tr>
        <w:trPr>
          <w:cantSplit w:val="0"/>
          <w:trHeight w:val="671.3999999999999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Mrs C Maloney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Email address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c.maloney@pudseygrammar.co.uk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